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安徽经典市场调查有限公司</w:t>
      </w:r>
      <w:r>
        <w:rPr>
          <w:rFonts w:hint="eastAsia" w:ascii="宋体" w:hAnsi="宋体" w:eastAsia="宋体" w:cs="宋体"/>
          <w:sz w:val="28"/>
          <w:szCs w:val="28"/>
        </w:rPr>
        <w:t>有限公司招聘简章</w:t>
      </w:r>
      <w:bookmarkEnd w:id="0"/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sz w:val="28"/>
          <w:szCs w:val="28"/>
        </w:rPr>
        <w:drawing>
          <wp:inline distT="0" distB="0" distL="114300" distR="114300">
            <wp:extent cx="5264785" cy="7509510"/>
            <wp:effectExtent l="0" t="0" r="12065" b="15240"/>
            <wp:docPr id="1" name="图片 1" descr="Screenshot_20231011_090349_com.tencent.mm_edit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31011_090349_com.tencent.mm_edit_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A41B2"/>
    <w:rsid w:val="791D43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2023-10-11T01:05:29Z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